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611BBB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611BBB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B211E4">
        <w:trPr>
          <w:trHeight w:val="3334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196E435D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 xml:space="preserve">DEGASE - Centro de Recursos Integrados de Atendimento ao Adolescente (CRIAAD </w:t>
            </w:r>
            <w:r w:rsidR="003049DC">
              <w:rPr>
                <w:rFonts w:ascii="Times New Roman" w:hAnsi="Times New Roman" w:cs="Times New Roman"/>
                <w:color w:val="000000"/>
              </w:rPr>
              <w:t>BANGU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>)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28F3AFE8" w14:textId="6517B34A" w:rsidR="00AA43DB" w:rsidRP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3049DC" w:rsidRPr="003049DC">
              <w:rPr>
                <w:rFonts w:ascii="Times New Roman" w:hAnsi="Times New Roman" w:cs="Times New Roman"/>
                <w:color w:val="000000"/>
              </w:rPr>
              <w:t>Avenida Ribeiro Dantas, nº 640, Bangu</w:t>
            </w:r>
          </w:p>
          <w:p w14:paraId="4EF46783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424245F4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3049DC" w:rsidRPr="003049DC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Rio de Janeiro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5318EA07" w:rsidR="004F411E" w:rsidRPr="00A708A3" w:rsidRDefault="00A708A3" w:rsidP="00B211E4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B211E4" w:rsidRPr="00B211E4">
              <w:rPr>
                <w:rFonts w:ascii="Times New Roman" w:hAnsi="Times New Roman" w:cs="Times New Roman"/>
                <w:color w:val="000000"/>
              </w:rPr>
              <w:t>Contratação de empresa especializada no ramo de Engenharia, para a reforma com acréscimo para transformação do </w:t>
            </w:r>
            <w:r w:rsidR="00B211E4" w:rsidRPr="00B211E4">
              <w:rPr>
                <w:rStyle w:val="Forte"/>
                <w:rFonts w:ascii="Times New Roman" w:hAnsi="Times New Roman" w:cs="Times New Roman"/>
                <w:color w:val="000000"/>
              </w:rPr>
              <w:t>Centro de Recursos Integrados de Atendimento ao Adolescente - CRIAAD em Centro de Socioeducação - CENSE BANGU</w:t>
            </w:r>
            <w:r w:rsidR="00B211E4" w:rsidRPr="00B211E4">
              <w:rPr>
                <w:rFonts w:ascii="Times New Roman" w:hAnsi="Times New Roman" w:cs="Times New Roman"/>
                <w:color w:val="000000"/>
              </w:rPr>
              <w:t>, unidade do Departamento Geral de Ações Socioeducativas - DEGASE, localizado na Avenida Ribeiro Dantas, nº 640, Bairro Bangu, no município do Rio de Janeiro.</w:t>
            </w:r>
          </w:p>
        </w:tc>
      </w:tr>
    </w:tbl>
    <w:p w14:paraId="22B9B283" w14:textId="77777777" w:rsidR="004F411E" w:rsidRPr="004F411E" w:rsidRDefault="00611BBB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59.6pt;width:535.5pt;height:328.3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1049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1"/>
                    <w:gridCol w:w="6897"/>
                    <w:gridCol w:w="1181"/>
                    <w:gridCol w:w="1611"/>
                  </w:tblGrid>
                  <w:tr w:rsidR="00611BBB" w:rsidRPr="00611BBB" w14:paraId="4CBA7262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055D87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Item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85E79B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Descrição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B7040B7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Unidade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C6F8127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Quantidade</w:t>
                        </w:r>
                      </w:p>
                    </w:tc>
                  </w:tr>
                  <w:tr w:rsidR="00611BBB" w:rsidRPr="00611BBB" w14:paraId="13E1BB57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7C302CD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F4F4D35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Estrutura metálica para a cobertura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051E92F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16B7E87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758,00m²</w:t>
                        </w:r>
                      </w:p>
                    </w:tc>
                  </w:tr>
                  <w:tr w:rsidR="00611BBB" w:rsidRPr="00611BBB" w14:paraId="3CC06ACD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5DCB83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2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F9429DB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Estrutura metálica para estrutura de edificações, pilares ou vigas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21668C3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kg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0BDCF23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2.939,00kg</w:t>
                        </w:r>
                      </w:p>
                    </w:tc>
                  </w:tr>
                  <w:tr w:rsidR="00611BBB" w:rsidRPr="00611BBB" w14:paraId="29F52B74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CCE0254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3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63C31C6" w14:textId="01196E73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 xml:space="preserve">Cobertura </w:t>
                        </w: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termo isolante</w:t>
                        </w: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, dupla, trapezoidal 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E4E49EE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C76F07F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1.022,00m²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9463F"/>
    <w:rsid w:val="00113A1C"/>
    <w:rsid w:val="001254E1"/>
    <w:rsid w:val="001527D2"/>
    <w:rsid w:val="001F2A52"/>
    <w:rsid w:val="00267CB7"/>
    <w:rsid w:val="003049DC"/>
    <w:rsid w:val="003A534C"/>
    <w:rsid w:val="003C706A"/>
    <w:rsid w:val="004056B3"/>
    <w:rsid w:val="00452767"/>
    <w:rsid w:val="00470552"/>
    <w:rsid w:val="00482210"/>
    <w:rsid w:val="004B6AD8"/>
    <w:rsid w:val="004F411E"/>
    <w:rsid w:val="004F6862"/>
    <w:rsid w:val="0059516B"/>
    <w:rsid w:val="005A0062"/>
    <w:rsid w:val="005B0DA9"/>
    <w:rsid w:val="005B630A"/>
    <w:rsid w:val="00611BBB"/>
    <w:rsid w:val="00633834"/>
    <w:rsid w:val="00654A74"/>
    <w:rsid w:val="00662123"/>
    <w:rsid w:val="00692B9C"/>
    <w:rsid w:val="006B136A"/>
    <w:rsid w:val="006F1023"/>
    <w:rsid w:val="00707F35"/>
    <w:rsid w:val="00730CA4"/>
    <w:rsid w:val="00864DD4"/>
    <w:rsid w:val="00871E42"/>
    <w:rsid w:val="008F7C72"/>
    <w:rsid w:val="009015FD"/>
    <w:rsid w:val="00921623"/>
    <w:rsid w:val="009607DA"/>
    <w:rsid w:val="00973E8F"/>
    <w:rsid w:val="00997994"/>
    <w:rsid w:val="009C2229"/>
    <w:rsid w:val="009D7040"/>
    <w:rsid w:val="00A708A3"/>
    <w:rsid w:val="00AA43DB"/>
    <w:rsid w:val="00AA7341"/>
    <w:rsid w:val="00B211E4"/>
    <w:rsid w:val="00B260BE"/>
    <w:rsid w:val="00BB06BE"/>
    <w:rsid w:val="00C363F2"/>
    <w:rsid w:val="00C76557"/>
    <w:rsid w:val="00CC6E92"/>
    <w:rsid w:val="00D94DAD"/>
    <w:rsid w:val="00DB3E72"/>
    <w:rsid w:val="00E53EC3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36</cp:revision>
  <cp:lastPrinted>2022-10-10T20:18:00Z</cp:lastPrinted>
  <dcterms:created xsi:type="dcterms:W3CDTF">2022-05-18T19:48:00Z</dcterms:created>
  <dcterms:modified xsi:type="dcterms:W3CDTF">2024-06-13T18:28:00Z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